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0CFF" w14:textId="77777777" w:rsidR="00CD3671" w:rsidRDefault="008761FE" w:rsidP="00BE0CC6">
      <w:pPr>
        <w:jc w:val="both"/>
      </w:pPr>
      <w:r>
        <w:tab/>
      </w:r>
    </w:p>
    <w:p w14:paraId="1589A0A8" w14:textId="77777777" w:rsidR="00CD3671" w:rsidRDefault="00CD3671" w:rsidP="00BE0CC6">
      <w:pPr>
        <w:jc w:val="both"/>
      </w:pPr>
    </w:p>
    <w:p w14:paraId="696E4EB2" w14:textId="21D578D7" w:rsidR="006847D0" w:rsidRPr="00BE0CC6" w:rsidRDefault="00BE0CC6" w:rsidP="00CD3671">
      <w:pPr>
        <w:ind w:firstLine="708"/>
        <w:jc w:val="both"/>
        <w:rPr>
          <w:rFonts w:ascii="Cambria" w:hAnsi="Cambria"/>
          <w:sz w:val="24"/>
          <w:szCs w:val="24"/>
        </w:rPr>
      </w:pPr>
      <w:r w:rsidRPr="00BE0CC6">
        <w:rPr>
          <w:rFonts w:cs="Times New Roman"/>
          <w:sz w:val="28"/>
          <w:szCs w:val="28"/>
        </w:rPr>
        <w:t>16 февраля 2023 года, в электронной системе обеспечения законодательной деятельности был опубликован текст законопроекта</w:t>
      </w:r>
      <w:r w:rsidRPr="00BE0CC6">
        <w:rPr>
          <w:rFonts w:ascii="Cambria" w:hAnsi="Cambria"/>
          <w:sz w:val="28"/>
          <w:szCs w:val="28"/>
        </w:rPr>
        <w:t xml:space="preserve"> </w:t>
      </w:r>
      <w:r w:rsidRPr="00494BE4">
        <w:rPr>
          <w:bCs/>
          <w:sz w:val="28"/>
          <w:szCs w:val="28"/>
        </w:rPr>
        <w:t>№ 337041-7</w:t>
      </w:r>
      <w:r>
        <w:rPr>
          <w:bCs/>
          <w:sz w:val="28"/>
          <w:szCs w:val="28"/>
        </w:rPr>
        <w:t xml:space="preserve"> «</w:t>
      </w:r>
      <w:r w:rsidRPr="00BE0CC6">
        <w:rPr>
          <w:bCs/>
          <w:sz w:val="28"/>
          <w:szCs w:val="28"/>
        </w:rPr>
        <w:t>О внесении изменений в статью 3 Федерального закона «О газоснабжении в Российской Федерации» и Жилищный кодекс Российской Федерации</w:t>
      </w:r>
      <w:r>
        <w:rPr>
          <w:bCs/>
          <w:sz w:val="28"/>
          <w:szCs w:val="28"/>
        </w:rPr>
        <w:t xml:space="preserve"> </w:t>
      </w:r>
      <w:r w:rsidRPr="00BE0CC6">
        <w:rPr>
          <w:bCs/>
          <w:sz w:val="28"/>
          <w:szCs w:val="28"/>
        </w:rPr>
        <w:t>(О внесении изменений в статью 161</w:t>
      </w:r>
      <w:r>
        <w:rPr>
          <w:bCs/>
          <w:sz w:val="28"/>
          <w:szCs w:val="28"/>
        </w:rPr>
        <w:t xml:space="preserve"> </w:t>
      </w:r>
      <w:r w:rsidRPr="00BE0CC6">
        <w:rPr>
          <w:bCs/>
          <w:sz w:val="28"/>
          <w:szCs w:val="28"/>
        </w:rPr>
        <w:t>Жилищного кодекса Российской Федерации)</w:t>
      </w:r>
      <w:r>
        <w:rPr>
          <w:bCs/>
          <w:sz w:val="28"/>
          <w:szCs w:val="28"/>
        </w:rPr>
        <w:t>», который предполагается представить ко второму чтению в рамках пленарного заседания 21.02.2023г.</w:t>
      </w:r>
    </w:p>
    <w:p w14:paraId="76CBD860" w14:textId="77777777" w:rsidR="00BB138C" w:rsidRPr="00BB138C" w:rsidRDefault="00BB138C"/>
    <w:p w14:paraId="12285499" w14:textId="2ECCD90A" w:rsidR="00BE0CC6" w:rsidRDefault="00BE0CC6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>По смыслу и сути предлагаемых данным проектом изменений, можно выделить три основных направления инициатив:</w:t>
      </w:r>
    </w:p>
    <w:p w14:paraId="45973E4B" w14:textId="693368B4" w:rsidR="00BE0CC6" w:rsidRDefault="00BE0CC6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>- внесение в Жилищный кодекс определения коммунальной услуги «Газоснабжение», со всеми сопутствующими изменениями в статьях в части работы УК и ТСН</w:t>
      </w:r>
    </w:p>
    <w:p w14:paraId="494EAEEE" w14:textId="235307F7" w:rsidR="00BE0CC6" w:rsidRDefault="00BE0CC6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>- изменение подходов непосредственно к тарифообразованию услуг ТО ВДГО/ВКГО</w:t>
      </w:r>
    </w:p>
    <w:p w14:paraId="43654667" w14:textId="50A67A65" w:rsidR="00BE0CC6" w:rsidRDefault="00BE0CC6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>- изменение структуры и состава работ по оказанию услуг ТО ВДГО для индивидуальных жилых домов и введение единых методик расчета стоимости таких услуг.</w:t>
      </w:r>
    </w:p>
    <w:p w14:paraId="5BF18F49" w14:textId="77777777" w:rsidR="00133537" w:rsidRDefault="00133537" w:rsidP="00133537">
      <w:pPr>
        <w:snapToGrid w:val="0"/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 w:rsidRPr="00DD7B56">
        <w:rPr>
          <w:rFonts w:cs="Times New Roman"/>
          <w:color w:val="000000" w:themeColor="text1"/>
          <w:sz w:val="28"/>
          <w:szCs w:val="28"/>
          <w:highlight w:val="yellow"/>
        </w:rPr>
        <w:t>Участники расширенного заседания №</w:t>
      </w:r>
      <w:r>
        <w:rPr>
          <w:rFonts w:cs="Times New Roman"/>
          <w:color w:val="000000" w:themeColor="text1"/>
          <w:sz w:val="28"/>
          <w:szCs w:val="28"/>
          <w:highlight w:val="yellow"/>
        </w:rPr>
        <w:t>______</w:t>
      </w:r>
      <w:r w:rsidRPr="00DD7B56">
        <w:rPr>
          <w:rFonts w:cs="Times New Roman"/>
          <w:color w:val="000000" w:themeColor="text1"/>
          <w:sz w:val="28"/>
          <w:szCs w:val="28"/>
          <w:highlight w:val="yellow"/>
        </w:rPr>
        <w:t xml:space="preserve"> Секции – представители федеральных органов исполнительной власти, энергосбытовых компаний, крупнейших потребителей электроэнергии, аналитического сектора, общественных организаций, объединений энергетической отрасли, научных институтов и др., обсудив </w:t>
      </w:r>
      <w:r w:rsidRPr="00DD7B56">
        <w:rPr>
          <w:rFonts w:cs="Times New Roman"/>
          <w:sz w:val="28"/>
          <w:szCs w:val="28"/>
          <w:highlight w:val="yellow"/>
        </w:rPr>
        <w:t>актуальные вопросы мониторинга финансового состояния и финансовой дисциплины энергосбытовых организаций</w:t>
      </w:r>
      <w:r w:rsidRPr="00DD7B56">
        <w:rPr>
          <w:rFonts w:eastAsia="Calibri" w:cs="Times New Roman"/>
          <w:color w:val="000000" w:themeColor="text1"/>
          <w:sz w:val="28"/>
          <w:szCs w:val="28"/>
          <w:highlight w:val="yellow"/>
        </w:rPr>
        <w:t xml:space="preserve">, </w:t>
      </w:r>
      <w:r w:rsidRPr="00DD7B56">
        <w:rPr>
          <w:rFonts w:cs="Times New Roman"/>
          <w:color w:val="000000" w:themeColor="text1"/>
          <w:sz w:val="28"/>
          <w:szCs w:val="28"/>
          <w:highlight w:val="yellow"/>
        </w:rPr>
        <w:t>заслушав доклады, подготовив и представив рекомендации по итогам заседания Секции, отметили следующее.</w:t>
      </w:r>
    </w:p>
    <w:p w14:paraId="3E659838" w14:textId="5918BD0C" w:rsidR="00962848" w:rsidRDefault="00962848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 xml:space="preserve">Стоит отметить, что несмотря на периодически происходящие трагичные случаи взрывов бытового газа и отравления угарным газом при пользовании в быту, при общем количестве абонентов в стране более 40 млн, удельное количество аварий и ЧС находится на </w:t>
      </w:r>
      <w:r w:rsidR="00CD3671">
        <w:rPr>
          <w:rFonts w:cs="Times New Roman"/>
          <w:color w:val="000000" w:themeColor="text1"/>
          <w:spacing w:val="2"/>
          <w:sz w:val="28"/>
          <w:szCs w:val="28"/>
        </w:rPr>
        <w:t xml:space="preserve">очень </w:t>
      </w:r>
      <w:r>
        <w:rPr>
          <w:rFonts w:cs="Times New Roman"/>
          <w:color w:val="000000" w:themeColor="text1"/>
          <w:spacing w:val="2"/>
          <w:sz w:val="28"/>
          <w:szCs w:val="28"/>
        </w:rPr>
        <w:t>низком уровне</w:t>
      </w:r>
      <w:r w:rsidR="00CD3671">
        <w:rPr>
          <w:rFonts w:cs="Times New Roman"/>
          <w:color w:val="000000" w:themeColor="text1"/>
          <w:spacing w:val="2"/>
          <w:sz w:val="28"/>
          <w:szCs w:val="28"/>
        </w:rPr>
        <w:t xml:space="preserve"> (ниже 0,000005%)</w:t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, на протяжении последнего десятилетия существенного роста случаев нет. </w:t>
      </w:r>
      <w:r w:rsidR="00CD3671">
        <w:rPr>
          <w:rFonts w:cs="Times New Roman"/>
          <w:color w:val="000000" w:themeColor="text1"/>
          <w:spacing w:val="2"/>
          <w:sz w:val="28"/>
          <w:szCs w:val="28"/>
        </w:rPr>
        <w:t>Исключить на 100% случаи взрыва газа в быту, без «</w:t>
      </w:r>
      <w:proofErr w:type="spellStart"/>
      <w:r w:rsidR="00CD3671">
        <w:rPr>
          <w:rFonts w:cs="Times New Roman"/>
          <w:color w:val="000000" w:themeColor="text1"/>
          <w:spacing w:val="2"/>
          <w:sz w:val="28"/>
          <w:szCs w:val="28"/>
        </w:rPr>
        <w:t>дегазификации</w:t>
      </w:r>
      <w:proofErr w:type="spellEnd"/>
      <w:r w:rsidR="00CD3671">
        <w:rPr>
          <w:rFonts w:cs="Times New Roman"/>
          <w:color w:val="000000" w:themeColor="text1"/>
          <w:spacing w:val="2"/>
          <w:sz w:val="28"/>
          <w:szCs w:val="28"/>
        </w:rPr>
        <w:t xml:space="preserve">» жилых домов невозможно в принципе. </w:t>
      </w:r>
      <w:r>
        <w:rPr>
          <w:rFonts w:cs="Times New Roman"/>
          <w:color w:val="000000" w:themeColor="text1"/>
          <w:spacing w:val="2"/>
          <w:sz w:val="28"/>
          <w:szCs w:val="28"/>
        </w:rPr>
        <w:t>К сожалению, даже в области учета и сбора сведений по таким случаям, в стране нет закрепленной</w:t>
      </w:r>
      <w:r w:rsidR="00CD3671">
        <w:rPr>
          <w:rFonts w:cs="Times New Roman"/>
          <w:color w:val="000000" w:themeColor="text1"/>
          <w:spacing w:val="2"/>
          <w:sz w:val="28"/>
          <w:szCs w:val="28"/>
        </w:rPr>
        <w:t>, утвержденной</w:t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 системы сбора и учета такой информации, органа, который собирал, анализировал, предлагал исходя из анализа конкретных случаев решение точечных задач, изменения норм или подходов.</w:t>
      </w:r>
    </w:p>
    <w:p w14:paraId="58A0F672" w14:textId="77777777" w:rsidR="00CD3671" w:rsidRDefault="00CD3671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</w:p>
    <w:p w14:paraId="17C2DD9B" w14:textId="5AB0CA5A" w:rsidR="00133537" w:rsidRDefault="00133537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lastRenderedPageBreak/>
        <w:t>Общие замечание</w:t>
      </w:r>
      <w:r w:rsidR="00CD3671">
        <w:rPr>
          <w:rFonts w:cs="Times New Roman"/>
          <w:color w:val="000000" w:themeColor="text1"/>
          <w:spacing w:val="2"/>
          <w:sz w:val="28"/>
          <w:szCs w:val="28"/>
        </w:rPr>
        <w:t xml:space="preserve"> участников заседания</w:t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 </w:t>
      </w:r>
      <w:r w:rsidR="00CD3671">
        <w:rPr>
          <w:rFonts w:cs="Times New Roman"/>
          <w:color w:val="000000" w:themeColor="text1"/>
          <w:spacing w:val="2"/>
          <w:sz w:val="28"/>
          <w:szCs w:val="28"/>
        </w:rPr>
        <w:t>к</w:t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 подходам, которые применены при подготовке </w:t>
      </w:r>
      <w:r w:rsidR="00CD3671">
        <w:rPr>
          <w:rFonts w:cs="Times New Roman"/>
          <w:color w:val="000000" w:themeColor="text1"/>
          <w:spacing w:val="2"/>
          <w:sz w:val="28"/>
          <w:szCs w:val="28"/>
        </w:rPr>
        <w:t xml:space="preserve">рассматриваемого </w:t>
      </w:r>
      <w:r>
        <w:rPr>
          <w:rFonts w:cs="Times New Roman"/>
          <w:color w:val="000000" w:themeColor="text1"/>
          <w:spacing w:val="2"/>
          <w:sz w:val="28"/>
          <w:szCs w:val="28"/>
        </w:rPr>
        <w:t>проекта:</w:t>
      </w:r>
    </w:p>
    <w:p w14:paraId="59F29A33" w14:textId="13A40E3C" w:rsidR="005C629F" w:rsidRDefault="005C629F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 xml:space="preserve">Стоит сразу отметить, что проектом предусмотрены ссылки на подзаконные акты, которые должно </w:t>
      </w:r>
      <w:r w:rsidR="00133537">
        <w:rPr>
          <w:rFonts w:cs="Times New Roman"/>
          <w:color w:val="000000" w:themeColor="text1"/>
          <w:spacing w:val="2"/>
          <w:sz w:val="28"/>
          <w:szCs w:val="28"/>
        </w:rPr>
        <w:t xml:space="preserve">дополнительно разработать и </w:t>
      </w:r>
      <w:r>
        <w:rPr>
          <w:rFonts w:cs="Times New Roman"/>
          <w:color w:val="000000" w:themeColor="text1"/>
          <w:spacing w:val="2"/>
          <w:sz w:val="28"/>
          <w:szCs w:val="28"/>
        </w:rPr>
        <w:t>утвердить Правительство РФ, но проект</w:t>
      </w:r>
      <w:r w:rsidR="00DD7B56">
        <w:rPr>
          <w:rFonts w:cs="Times New Roman"/>
          <w:color w:val="000000" w:themeColor="text1"/>
          <w:spacing w:val="2"/>
          <w:sz w:val="28"/>
          <w:szCs w:val="28"/>
        </w:rPr>
        <w:t>ов</w:t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 текстов данных актов не представлено, что не позволяет в полной мере оценить </w:t>
      </w:r>
      <w:r w:rsidR="00DD7B56">
        <w:rPr>
          <w:rFonts w:cs="Times New Roman"/>
          <w:color w:val="000000" w:themeColor="text1"/>
          <w:spacing w:val="2"/>
          <w:sz w:val="28"/>
          <w:szCs w:val="28"/>
        </w:rPr>
        <w:t xml:space="preserve">целостность и направленность, </w:t>
      </w:r>
      <w:r>
        <w:rPr>
          <w:rFonts w:cs="Times New Roman"/>
          <w:color w:val="000000" w:themeColor="text1"/>
          <w:spacing w:val="2"/>
          <w:sz w:val="28"/>
          <w:szCs w:val="28"/>
        </w:rPr>
        <w:t>последствия принятия данного законопроекта, а также суть предлагаемых изменений. Отсутствуют проекты соответствующих Постановлений Правительства: Типовые формы договоров ТО ВДГО/ВКГО, методические рекомендации по расчету стоимости работ ТО ВДГО/ВКГО.</w:t>
      </w:r>
    </w:p>
    <w:p w14:paraId="484E0048" w14:textId="508183A4" w:rsidR="00133537" w:rsidRDefault="00133537" w:rsidP="00133537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 xml:space="preserve">Предлагаемые изменения, вносимые в Жилищный Кодекс данным законопроектом дублируют во многом требования и иные определения, уже применяемые в рамках различных действующих Постановлений Правительства, а именно – ПП №354 (определение коммунальной услуги), ПП №410 (ведение работ в части ТО ВДГО/ВКГО, обязанности исполнителей, жителей, ГРО), т.е. дублируют и в какой-то мере изменяют в том числе данные действующие правовые акты, внесение изменений в которые не предусмотрено данным проектом. Следует, в случае необходимости переноса определений, терминов, требований в Жилищный Кодекс, одновременно отменять соответствующие, дублируемые Постановления Правительства, для исключения разночтений и создание единства в нормативно-правовом поле. </w:t>
      </w:r>
    </w:p>
    <w:p w14:paraId="2AEFB05F" w14:textId="1753A3EF" w:rsidR="00133537" w:rsidRDefault="00DF1ACA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 xml:space="preserve">Представителем МОО «ГИГО» в рамках обсуждения инициативы, указано, что отнесение газоснабжения </w:t>
      </w:r>
      <w:proofErr w:type="gramStart"/>
      <w:r>
        <w:rPr>
          <w:rFonts w:cs="Times New Roman"/>
          <w:color w:val="000000" w:themeColor="text1"/>
          <w:spacing w:val="2"/>
          <w:sz w:val="28"/>
          <w:szCs w:val="28"/>
        </w:rPr>
        <w:t>к коммунальной услуги</w:t>
      </w:r>
      <w:proofErr w:type="gramEnd"/>
      <w:r>
        <w:rPr>
          <w:rFonts w:cs="Times New Roman"/>
          <w:color w:val="000000" w:themeColor="text1"/>
          <w:spacing w:val="2"/>
          <w:sz w:val="28"/>
          <w:szCs w:val="28"/>
        </w:rPr>
        <w:t xml:space="preserve"> в настоящее время обусловлено </w:t>
      </w:r>
      <w:proofErr w:type="spellStart"/>
      <w:r>
        <w:rPr>
          <w:rFonts w:cs="Times New Roman"/>
          <w:color w:val="000000" w:themeColor="text1"/>
          <w:spacing w:val="2"/>
          <w:sz w:val="28"/>
          <w:szCs w:val="28"/>
        </w:rPr>
        <w:t>Пост.Правительства</w:t>
      </w:r>
      <w:proofErr w:type="spellEnd"/>
      <w:r>
        <w:rPr>
          <w:rFonts w:cs="Times New Roman"/>
          <w:color w:val="000000" w:themeColor="text1"/>
          <w:spacing w:val="2"/>
          <w:sz w:val="28"/>
          <w:szCs w:val="28"/>
        </w:rPr>
        <w:t xml:space="preserve"> №354, газоснабжение и проведение работ ТО ВДГО/КГО населения осуществляется на основании </w:t>
      </w:r>
      <w:proofErr w:type="spellStart"/>
      <w:r>
        <w:rPr>
          <w:rFonts w:cs="Times New Roman"/>
          <w:color w:val="000000" w:themeColor="text1"/>
          <w:spacing w:val="2"/>
          <w:sz w:val="28"/>
          <w:szCs w:val="28"/>
        </w:rPr>
        <w:t>Пост.Правительства</w:t>
      </w:r>
      <w:proofErr w:type="spellEnd"/>
      <w:r>
        <w:rPr>
          <w:rFonts w:cs="Times New Roman"/>
          <w:color w:val="000000" w:themeColor="text1"/>
          <w:spacing w:val="2"/>
          <w:sz w:val="28"/>
          <w:szCs w:val="28"/>
        </w:rPr>
        <w:t xml:space="preserve"> №410. Из всего текста инициативы следует выделить – прописанные зоны ответственности для ТСН/ТСЖ в многоквартирных домах, что ранее было упущено. </w:t>
      </w:r>
    </w:p>
    <w:p w14:paraId="4A18EBFB" w14:textId="70A2055F" w:rsidR="00FE4734" w:rsidRDefault="00DF1ACA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>Ранее заявлявшиеся в СМИ решения в части один дом – одна организация является очень сомнительным решением, поскольку если житель самостоятельно заключает договор по своей квартире или своему дому, то он подбирает исполнителя более «зримо», опираясь на отзывы, комфортность и качество оказания услуг, в том числе имеет возможность выбора по стоимости услуг на свободном рынке среди множества специализированных организаций</w:t>
      </w:r>
      <w:r w:rsidR="00D120D6">
        <w:rPr>
          <w:rFonts w:cs="Times New Roman"/>
          <w:color w:val="000000" w:themeColor="text1"/>
          <w:spacing w:val="2"/>
          <w:sz w:val="28"/>
          <w:szCs w:val="28"/>
        </w:rPr>
        <w:t>, что кстати закреплено в ст. 421 ГК РФ</w:t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. Мы предлагаем изменить в этой части подход – </w:t>
      </w:r>
    </w:p>
    <w:p w14:paraId="7EC4C9AF" w14:textId="22058DAD" w:rsidR="00DF1ACA" w:rsidRPr="00FE4734" w:rsidRDefault="00DF1ACA" w:rsidP="004D102C">
      <w:pPr>
        <w:spacing w:line="276" w:lineRule="auto"/>
        <w:ind w:firstLine="709"/>
        <w:jc w:val="both"/>
        <w:rPr>
          <w:rFonts w:cs="Times New Roman"/>
          <w:i/>
          <w:iCs/>
          <w:color w:val="000000" w:themeColor="text1"/>
          <w:spacing w:val="2"/>
          <w:sz w:val="28"/>
          <w:szCs w:val="28"/>
        </w:rPr>
      </w:pPr>
      <w:r w:rsidRPr="00FE4734">
        <w:rPr>
          <w:rFonts w:cs="Times New Roman"/>
          <w:i/>
          <w:iCs/>
          <w:color w:val="000000" w:themeColor="text1"/>
          <w:spacing w:val="2"/>
          <w:sz w:val="28"/>
          <w:szCs w:val="28"/>
        </w:rPr>
        <w:t>« в случае, если житель самостоятельно не заключил договор ВКГО/ВДГО со специализированной организацией, то УК/ТСН осуществляет от его лица заключение договора с организацией, которая осуществляет обслуживание ВДГО данного многоквартирного дома.».</w:t>
      </w:r>
    </w:p>
    <w:p w14:paraId="370996DC" w14:textId="24A05B01" w:rsidR="00DF1ACA" w:rsidRDefault="00DF1ACA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 xml:space="preserve">Из недоработок инициативы – не решен вопрос в предлагаемом законопроекте о «молчунах», абонентах, которые не передали УК/ТСН полномочия о заключении договора обслуживания ВКГО в МКД, при этом не заключили его сами. Механизм решения </w:t>
      </w:r>
      <w:r w:rsidR="00FE4734">
        <w:rPr>
          <w:rFonts w:cs="Times New Roman"/>
          <w:color w:val="000000" w:themeColor="text1"/>
          <w:spacing w:val="2"/>
          <w:sz w:val="28"/>
          <w:szCs w:val="28"/>
        </w:rPr>
        <w:t xml:space="preserve">актуального вопроса </w:t>
      </w:r>
      <w:r>
        <w:rPr>
          <w:rFonts w:cs="Times New Roman"/>
          <w:color w:val="000000" w:themeColor="text1"/>
          <w:spacing w:val="2"/>
          <w:sz w:val="28"/>
          <w:szCs w:val="28"/>
        </w:rPr>
        <w:t>не предложен.</w:t>
      </w:r>
      <w:r w:rsidR="00FE4734">
        <w:rPr>
          <w:rFonts w:cs="Times New Roman"/>
          <w:color w:val="000000" w:themeColor="text1"/>
          <w:spacing w:val="2"/>
          <w:sz w:val="28"/>
          <w:szCs w:val="28"/>
        </w:rPr>
        <w:t xml:space="preserve"> Отключение газа у данных абонентов ни в коей мере не снимает вопрос проведения проверки в данной квартире, из-за того, что в подавляющем большинстве случаев в помещении кухни проходит общий газопровод (стояк).</w:t>
      </w:r>
    </w:p>
    <w:p w14:paraId="33E79440" w14:textId="36CFF427" w:rsidR="00FE4734" w:rsidRDefault="00FE4734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>Не предложено никаких решений в части исключения ведения работ в МКД лицами без заключения договоров, так называемые сетевые продажи, «лотошники», законодательных запретов на подобные действия на сегодня нет, предлагаемая данным проектом модель не решает этой проблемы.</w:t>
      </w:r>
    </w:p>
    <w:p w14:paraId="62D65E3F" w14:textId="17F17F60" w:rsidR="00FE4734" w:rsidRDefault="00FE4734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 xml:space="preserve">Полностью упущен актуальный вопрос обеспечения допуска в квартиры. На сегодняшний день нет четко определенных и описанных действий в рамках действующего законодательства об обеспечении владельцем квартиры беспрепятственного допуска для проведения обслуживания ВКГО/ВДГО. Процесс с точки зрения текущих норм длительный (более 50 дней), что может оказывать влияние на безопасность многоквартирного дома. Мы предлагаем рассмотреть вопрос в части газоснабжения и допуска в квартиры в следующих направлениях – в квартирах </w:t>
      </w:r>
      <w:proofErr w:type="spellStart"/>
      <w:r>
        <w:rPr>
          <w:rFonts w:cs="Times New Roman"/>
          <w:color w:val="000000" w:themeColor="text1"/>
          <w:spacing w:val="2"/>
          <w:sz w:val="28"/>
          <w:szCs w:val="28"/>
        </w:rPr>
        <w:t>соц.найма</w:t>
      </w:r>
      <w:proofErr w:type="spellEnd"/>
      <w:r>
        <w:rPr>
          <w:rFonts w:cs="Times New Roman"/>
          <w:color w:val="000000" w:themeColor="text1"/>
          <w:spacing w:val="2"/>
          <w:sz w:val="28"/>
          <w:szCs w:val="28"/>
        </w:rPr>
        <w:t xml:space="preserve">, где владельцем является в том или ином формате государство, заключение договоров, обеспечение допуска в такие квартиры, осуществление оплат оставить за владельцем (государством), и данные расходы уже включать безусловно в стоимость оплаты за жилое помещение нанимателю. В случаях частного владения жильем, предлагаем повсеместно рассмотреть обязательное заключение всеми владельцами квартир договора «совместного проживания» (альтернативно – правил совместного пользования многоквартирным домом), где владелец также подпишет добровольное обязательство о допуске всех аварийных и проверяющих специалистов и органов, несмотря на свое конституционное право. Считаем, что именно институт таких </w:t>
      </w:r>
      <w:r w:rsidR="000650EB">
        <w:rPr>
          <w:rFonts w:cs="Times New Roman"/>
          <w:color w:val="000000" w:themeColor="text1"/>
          <w:spacing w:val="2"/>
          <w:sz w:val="28"/>
          <w:szCs w:val="28"/>
        </w:rPr>
        <w:t>«</w:t>
      </w:r>
      <w:r>
        <w:rPr>
          <w:rFonts w:cs="Times New Roman"/>
          <w:color w:val="000000" w:themeColor="text1"/>
          <w:spacing w:val="2"/>
          <w:sz w:val="28"/>
          <w:szCs w:val="28"/>
        </w:rPr>
        <w:t>правил совместного проживания/владения многоквартирным домом</w:t>
      </w:r>
      <w:r w:rsidR="000650EB">
        <w:rPr>
          <w:rFonts w:cs="Times New Roman"/>
          <w:color w:val="000000" w:themeColor="text1"/>
          <w:spacing w:val="2"/>
          <w:sz w:val="28"/>
          <w:szCs w:val="28"/>
        </w:rPr>
        <w:t>», обязательным к подписанию при покупке,</w:t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 является выходом из сегодняшнего тупика не только в вопросах газоснабжения.</w:t>
      </w:r>
    </w:p>
    <w:p w14:paraId="26B04AE3" w14:textId="4A21EC78" w:rsidR="000650EB" w:rsidRDefault="000650EB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>Инициативы в данном проекте, направленные на сегмент частного</w:t>
      </w:r>
      <w:r w:rsidR="00D120D6">
        <w:rPr>
          <w:rFonts w:cs="Times New Roman"/>
          <w:color w:val="000000" w:themeColor="text1"/>
          <w:spacing w:val="2"/>
          <w:sz w:val="28"/>
          <w:szCs w:val="28"/>
        </w:rPr>
        <w:t>,</w:t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 индивидуального жилья</w:t>
      </w:r>
      <w:r w:rsidR="00D120D6">
        <w:rPr>
          <w:rFonts w:cs="Times New Roman"/>
          <w:color w:val="000000" w:themeColor="text1"/>
          <w:spacing w:val="2"/>
          <w:sz w:val="28"/>
          <w:szCs w:val="28"/>
        </w:rPr>
        <w:t xml:space="preserve"> (в том числе в составе поселков под управлением УК/ТСН)</w:t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 окажут НЕГАТИВНЫЕ последствия для обеспечения безопасности, приведут к росту социальной напряженности, проведут к подрыву экономической деятельности и стабильности более чем 5000 предприятий малого и среднего бизнеса, которые в настоящий момент оказывают услуги обслуживания ВДГО в ИЖС. Кратко – предлагается включать в договор ТО ВДГО исключительно минимальный перечень работ, ценообразование в соответствии с утвержденными методиками. На сегодня фактически в сегменте обслуживания ВДГО в ИЖС (в том числе в поселках под управлением УК/ТСН) сложившийся перечень услуг  в рамках договоров различен, но во всех случаях существенно шире, чем минимально закрепленный. Ценообразование регулируется рыночными отношениями, житель имеет право выбора исполнителя. Как правило выбор исполнителя имеет корреляцию с авторизацией по конкретной марке оборудования, наличию запасных частей, времени реагирования, квалификации персонала. Работы по обслуживанию в большей степени затрагивают не только газовый тракт, но и электронные компоненты, гидравлическую обвязку, все аспекты бесперебойного теплоснабжения частного дома. Проект предписывает все кроме минимального перечня услуг исключать из договора. С точки зрения текущей ситуации никаких предпосылок для слома рынка, отношений, и вообще регулирования в сегменте В</w:t>
      </w:r>
      <w:r w:rsidR="00D120D6">
        <w:rPr>
          <w:rFonts w:cs="Times New Roman"/>
          <w:color w:val="000000" w:themeColor="text1"/>
          <w:spacing w:val="2"/>
          <w:sz w:val="28"/>
          <w:szCs w:val="28"/>
        </w:rPr>
        <w:t>ДГО в ИЖС нет. Наиболее вероятной предпосылкой для появления таких инициатив считаем дальнейшую монополизацию рынка оказания услуг ТО ВДГО/ВКГО, что недопустимо.</w:t>
      </w:r>
    </w:p>
    <w:p w14:paraId="127991E3" w14:textId="00029E54" w:rsidR="00597B6D" w:rsidRDefault="00597B6D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 xml:space="preserve">Проект содержит также предложения включить во взаимоотношения между потребителем газа, поставщиком газа, специализированной организацией еще одного участника – УК/ТСН. С точки зрения вопросов безопасности подобная инициатива еще больше усугубит взаимоотношения сторон. УК/ТСН в данном предложении отведена обязанность сбора денежных средств (по сути предложения), при этом фактически они станут ответчиками перед жителями за действия </w:t>
      </w:r>
      <w:proofErr w:type="spellStart"/>
      <w:r>
        <w:rPr>
          <w:rFonts w:cs="Times New Roman"/>
          <w:color w:val="000000" w:themeColor="text1"/>
          <w:spacing w:val="2"/>
          <w:sz w:val="28"/>
          <w:szCs w:val="28"/>
        </w:rPr>
        <w:t>спец.организации</w:t>
      </w:r>
      <w:proofErr w:type="spellEnd"/>
      <w:r>
        <w:rPr>
          <w:rFonts w:cs="Times New Roman"/>
          <w:color w:val="000000" w:themeColor="text1"/>
          <w:spacing w:val="2"/>
          <w:sz w:val="28"/>
          <w:szCs w:val="28"/>
        </w:rPr>
        <w:t xml:space="preserve">, а для </w:t>
      </w:r>
      <w:proofErr w:type="spellStart"/>
      <w:r>
        <w:rPr>
          <w:rFonts w:cs="Times New Roman"/>
          <w:color w:val="000000" w:themeColor="text1"/>
          <w:spacing w:val="2"/>
          <w:sz w:val="28"/>
          <w:szCs w:val="28"/>
        </w:rPr>
        <w:t>спец.организаций</w:t>
      </w:r>
      <w:proofErr w:type="spellEnd"/>
      <w:r>
        <w:rPr>
          <w:rFonts w:cs="Times New Roman"/>
          <w:color w:val="000000" w:themeColor="text1"/>
          <w:spacing w:val="2"/>
          <w:sz w:val="28"/>
          <w:szCs w:val="28"/>
        </w:rPr>
        <w:t xml:space="preserve"> ответчиками за действие/бездействие жителей. С точки зрения безопасности размытие обязанностей жителей, непосредственного контакта жителей и </w:t>
      </w:r>
      <w:proofErr w:type="spellStart"/>
      <w:r>
        <w:rPr>
          <w:rFonts w:cs="Times New Roman"/>
          <w:color w:val="000000" w:themeColor="text1"/>
          <w:spacing w:val="2"/>
          <w:sz w:val="28"/>
          <w:szCs w:val="28"/>
        </w:rPr>
        <w:t>спец.организации</w:t>
      </w:r>
      <w:proofErr w:type="spellEnd"/>
      <w:r>
        <w:rPr>
          <w:rFonts w:cs="Times New Roman"/>
          <w:color w:val="000000" w:themeColor="text1"/>
          <w:spacing w:val="2"/>
          <w:sz w:val="28"/>
          <w:szCs w:val="28"/>
        </w:rPr>
        <w:t xml:space="preserve"> нанесет огромный ущерб, подчас приведет к фиктивному контролю. Наложение штрафов на УК/ТСН кроме наполнения бюджетов не решит вопросов повышения безопасности.</w:t>
      </w:r>
    </w:p>
    <w:p w14:paraId="7F80B455" w14:textId="25B716CB" w:rsidR="00597B6D" w:rsidRDefault="00597B6D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 xml:space="preserve">В предложении предлагается ввести типовые методики расчета платы за ТО ВДГО/ВКГО. Помимо вопросов недопустимости таких шагов в ИЖС и поселках с индивидуальными домами, есть и сугубо </w:t>
      </w:r>
      <w:proofErr w:type="spellStart"/>
      <w:r>
        <w:rPr>
          <w:rFonts w:cs="Times New Roman"/>
          <w:color w:val="000000" w:themeColor="text1"/>
          <w:spacing w:val="2"/>
          <w:sz w:val="28"/>
          <w:szCs w:val="28"/>
        </w:rPr>
        <w:t>обьективные</w:t>
      </w:r>
      <w:proofErr w:type="spellEnd"/>
      <w:r>
        <w:rPr>
          <w:rFonts w:cs="Times New Roman"/>
          <w:color w:val="000000" w:themeColor="text1"/>
          <w:spacing w:val="2"/>
          <w:sz w:val="28"/>
          <w:szCs w:val="28"/>
        </w:rPr>
        <w:t xml:space="preserve"> причины невозможности в принципе ввести методики. В стране огромное количество различных регионов с разной плотностью населения, с огромными территориями и расстояниями между населенными пунктами. Подчас затраты и потери времени на выезд существенно превышают время проведения самих работ. Введение простых и понятных методик не решит вопрос. Разработка достоверных и учитывающих все аспекты методик – либо невозможна, либо процесс займет огромное количество времени, а предлагается переходный период до 01.01.2024 г. Как мы уже отмечали для сегмента ИЖС </w:t>
      </w:r>
      <w:r w:rsidR="00962848">
        <w:rPr>
          <w:rFonts w:cs="Times New Roman"/>
          <w:color w:val="000000" w:themeColor="text1"/>
          <w:spacing w:val="2"/>
          <w:sz w:val="28"/>
          <w:szCs w:val="28"/>
        </w:rPr>
        <w:t xml:space="preserve">не требуется вводить подобные меры, т.к. рынок на протяжении последнего десятилетия отрегулирован естественными, рыночными отношениями. Для Малоимущих граждан стоит продумать систему субсидирования данных затрат. В целом, подход к единому тарифообразованию, может привести к отсутствию экономического интереса к проведению работ (для всех сегодня ведущих данную деятельность компаний), оттоку подготовленных кадров в другие сегменты деятельности, что в итоге приведет к катастрофическим последствиям для безопасности. </w:t>
      </w:r>
    </w:p>
    <w:p w14:paraId="336D41EE" w14:textId="77777777" w:rsidR="00CD3671" w:rsidRDefault="00962848" w:rsidP="00962848">
      <w:pPr>
        <w:spacing w:line="276" w:lineRule="auto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ab/>
      </w:r>
    </w:p>
    <w:p w14:paraId="7BF235A5" w14:textId="0B22ECBA" w:rsidR="00962848" w:rsidRDefault="00962848" w:rsidP="00CD3671">
      <w:pPr>
        <w:spacing w:line="276" w:lineRule="auto"/>
        <w:ind w:firstLine="708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>По мнению участников МОО «ГИГО», данный проект не отвечает текущему положению дел, и не отвечает на более значимые вопросы, которые непосредственно оказывают влияние на безопасность граждан при использовании газа в быту.</w:t>
      </w:r>
      <w:r w:rsidR="005F0A53">
        <w:rPr>
          <w:rFonts w:cs="Times New Roman"/>
          <w:color w:val="000000" w:themeColor="text1"/>
          <w:spacing w:val="2"/>
          <w:sz w:val="28"/>
          <w:szCs w:val="28"/>
        </w:rPr>
        <w:t xml:space="preserve"> </w:t>
      </w:r>
    </w:p>
    <w:p w14:paraId="55E05869" w14:textId="626DA497" w:rsidR="005F0A53" w:rsidRDefault="005F0A53" w:rsidP="00CD3671">
      <w:pPr>
        <w:spacing w:line="276" w:lineRule="auto"/>
        <w:ind w:firstLine="708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 xml:space="preserve">В дальнейшем при выдвижении различных инициатив, проектов направленных на повышение безопасности, или изменение экономических взаимоотношений участников процесса подготовки, поставки, транспортировки, использованию газа в быту и любым сопутствующим, утвердить прилагаемую классификацию факторов риска </w:t>
      </w:r>
      <w:r w:rsidRPr="005F0A53">
        <w:rPr>
          <w:rFonts w:cs="Times New Roman"/>
          <w:color w:val="000000" w:themeColor="text1"/>
          <w:spacing w:val="2"/>
          <w:sz w:val="28"/>
          <w:szCs w:val="28"/>
          <w:highlight w:val="yellow"/>
        </w:rPr>
        <w:t>(Приложение №1</w:t>
      </w:r>
      <w:r>
        <w:rPr>
          <w:rFonts w:cs="Times New Roman"/>
          <w:color w:val="000000" w:themeColor="text1"/>
          <w:spacing w:val="2"/>
          <w:sz w:val="28"/>
          <w:szCs w:val="28"/>
        </w:rPr>
        <w:t>), как опорную модель, для рассмотрения влияние инициатив на реальные причины возникновения аварий и ЧС, и на основании отрицательного или положительного влияния давать соответствующие заключения. Также предлагаем использовать данную классификацию при проведении расследований аварий и ЧС, что позволит в дальнейшем определить частоту тех или иных факторов, которые привели к трагедии.</w:t>
      </w:r>
    </w:p>
    <w:p w14:paraId="1E5487A8" w14:textId="50B7555A" w:rsidR="00597B6D" w:rsidRDefault="00CD3671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  <w:r>
        <w:rPr>
          <w:rFonts w:cs="Times New Roman"/>
          <w:color w:val="000000" w:themeColor="text1"/>
          <w:spacing w:val="2"/>
          <w:sz w:val="28"/>
          <w:szCs w:val="28"/>
        </w:rPr>
        <w:t>По состоянию на начало 2023 года, в МОО «ГИГО» подготовлен тезисный план, требуемых действий и решений, который позволит в полной мере повысить безопасность. В рамках плана также обозначены наиболее важные аспекты, которые не нашли отражения в рамках инициатив и проектов, которые обсуждаются в различных органах законодательной и исполнительной власти. Решение именно этих вопросов позволит комплексно повысить безопасность. Данный план, мы представляем в виде Приложения</w:t>
      </w:r>
      <w:r w:rsidR="005F0A53">
        <w:rPr>
          <w:rFonts w:cs="Times New Roman"/>
          <w:color w:val="000000" w:themeColor="text1"/>
          <w:spacing w:val="2"/>
          <w:sz w:val="28"/>
          <w:szCs w:val="28"/>
        </w:rPr>
        <w:t xml:space="preserve"> </w:t>
      </w:r>
      <w:r w:rsidR="005F0A53" w:rsidRPr="005F0A53">
        <w:rPr>
          <w:rFonts w:cs="Times New Roman"/>
          <w:color w:val="000000" w:themeColor="text1"/>
          <w:spacing w:val="2"/>
          <w:sz w:val="28"/>
          <w:szCs w:val="28"/>
          <w:highlight w:val="yellow"/>
        </w:rPr>
        <w:t>(Приложение №2)</w:t>
      </w:r>
      <w:r>
        <w:rPr>
          <w:rFonts w:cs="Times New Roman"/>
          <w:color w:val="000000" w:themeColor="text1"/>
          <w:spacing w:val="2"/>
          <w:sz w:val="28"/>
          <w:szCs w:val="28"/>
        </w:rPr>
        <w:t xml:space="preserve"> к заключению.</w:t>
      </w:r>
    </w:p>
    <w:p w14:paraId="7D628490" w14:textId="23500D93" w:rsidR="00CD3671" w:rsidRDefault="00CD3671" w:rsidP="004D102C">
      <w:pPr>
        <w:spacing w:line="276" w:lineRule="auto"/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</w:rPr>
      </w:pPr>
    </w:p>
    <w:p w14:paraId="1DD1890A" w14:textId="7EA527E7" w:rsidR="004A1893" w:rsidRPr="00204458" w:rsidRDefault="004A1893" w:rsidP="00B36A0C">
      <w:pPr>
        <w:spacing w:line="276" w:lineRule="auto"/>
        <w:jc w:val="both"/>
        <w:rPr>
          <w:sz w:val="28"/>
          <w:szCs w:val="28"/>
        </w:rPr>
      </w:pPr>
    </w:p>
    <w:sectPr w:rsidR="004A1893" w:rsidRPr="0020445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C786" w14:textId="77777777" w:rsidR="00593C58" w:rsidRDefault="00593C58" w:rsidP="006847D0">
      <w:r>
        <w:separator/>
      </w:r>
    </w:p>
  </w:endnote>
  <w:endnote w:type="continuationSeparator" w:id="0">
    <w:p w14:paraId="226D0C53" w14:textId="77777777" w:rsidR="00593C58" w:rsidRDefault="00593C58" w:rsidP="0068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2001720852"/>
      <w:docPartObj>
        <w:docPartGallery w:val="Page Numbers (Bottom of Page)"/>
        <w:docPartUnique/>
      </w:docPartObj>
    </w:sdtPr>
    <w:sdtContent>
      <w:p w14:paraId="2F87BA90" w14:textId="5E642E7E" w:rsidR="00B36A0C" w:rsidRDefault="00B36A0C" w:rsidP="0026680D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BD39854" w14:textId="77777777" w:rsidR="00B36A0C" w:rsidRDefault="00B36A0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092974105"/>
      <w:docPartObj>
        <w:docPartGallery w:val="Page Numbers (Bottom of Page)"/>
        <w:docPartUnique/>
      </w:docPartObj>
    </w:sdtPr>
    <w:sdtContent>
      <w:p w14:paraId="138FB67F" w14:textId="776107B3" w:rsidR="00B36A0C" w:rsidRDefault="00B36A0C" w:rsidP="0026680D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C29BC"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69A2547A" w14:textId="77777777" w:rsidR="00B36A0C" w:rsidRDefault="00B36A0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8559" w14:textId="77777777" w:rsidR="00593C58" w:rsidRDefault="00593C58" w:rsidP="006847D0">
      <w:r>
        <w:separator/>
      </w:r>
    </w:p>
  </w:footnote>
  <w:footnote w:type="continuationSeparator" w:id="0">
    <w:p w14:paraId="22C36CFF" w14:textId="77777777" w:rsidR="00593C58" w:rsidRDefault="00593C58" w:rsidP="00684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6D4C"/>
    <w:multiLevelType w:val="hybridMultilevel"/>
    <w:tmpl w:val="76D433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8D669C"/>
    <w:multiLevelType w:val="hybridMultilevel"/>
    <w:tmpl w:val="B9A0E0C4"/>
    <w:lvl w:ilvl="0" w:tplc="1F541B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33D0E"/>
    <w:multiLevelType w:val="hybridMultilevel"/>
    <w:tmpl w:val="216A6904"/>
    <w:lvl w:ilvl="0" w:tplc="E7F08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393D00"/>
    <w:multiLevelType w:val="hybridMultilevel"/>
    <w:tmpl w:val="81C862F6"/>
    <w:lvl w:ilvl="0" w:tplc="D43EF77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93A32"/>
    <w:multiLevelType w:val="hybridMultilevel"/>
    <w:tmpl w:val="B9A0E0C4"/>
    <w:lvl w:ilvl="0" w:tplc="1F541B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E200B"/>
    <w:multiLevelType w:val="hybridMultilevel"/>
    <w:tmpl w:val="002C1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1C23DA"/>
    <w:multiLevelType w:val="hybridMultilevel"/>
    <w:tmpl w:val="4084601C"/>
    <w:lvl w:ilvl="0" w:tplc="E7F089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54A4"/>
    <w:multiLevelType w:val="hybridMultilevel"/>
    <w:tmpl w:val="C54099B8"/>
    <w:lvl w:ilvl="0" w:tplc="98183EC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i w:val="0"/>
        <w:color w:val="000000" w:themeColor="text1"/>
      </w:rPr>
    </w:lvl>
    <w:lvl w:ilvl="1" w:tplc="38965A6C">
      <w:start w:val="1"/>
      <w:numFmt w:val="lowerLetter"/>
      <w:lvlText w:val="%2."/>
      <w:lvlJc w:val="left"/>
      <w:pPr>
        <w:ind w:left="1789" w:hanging="360"/>
      </w:pPr>
    </w:lvl>
    <w:lvl w:ilvl="2" w:tplc="411E6CB2">
      <w:start w:val="1"/>
      <w:numFmt w:val="lowerRoman"/>
      <w:lvlText w:val="%3."/>
      <w:lvlJc w:val="right"/>
      <w:pPr>
        <w:ind w:left="2509" w:hanging="180"/>
      </w:pPr>
    </w:lvl>
    <w:lvl w:ilvl="3" w:tplc="59662614">
      <w:start w:val="1"/>
      <w:numFmt w:val="decimal"/>
      <w:lvlText w:val="%4."/>
      <w:lvlJc w:val="left"/>
      <w:pPr>
        <w:ind w:left="3229" w:hanging="360"/>
      </w:pPr>
    </w:lvl>
    <w:lvl w:ilvl="4" w:tplc="1A64CF3C">
      <w:start w:val="1"/>
      <w:numFmt w:val="lowerLetter"/>
      <w:lvlText w:val="%5."/>
      <w:lvlJc w:val="left"/>
      <w:pPr>
        <w:ind w:left="3949" w:hanging="360"/>
      </w:pPr>
    </w:lvl>
    <w:lvl w:ilvl="5" w:tplc="B4E41B9E">
      <w:start w:val="1"/>
      <w:numFmt w:val="lowerRoman"/>
      <w:lvlText w:val="%6."/>
      <w:lvlJc w:val="right"/>
      <w:pPr>
        <w:ind w:left="4669" w:hanging="180"/>
      </w:pPr>
    </w:lvl>
    <w:lvl w:ilvl="6" w:tplc="E6643774">
      <w:start w:val="1"/>
      <w:numFmt w:val="decimal"/>
      <w:lvlText w:val="%7."/>
      <w:lvlJc w:val="left"/>
      <w:pPr>
        <w:ind w:left="5389" w:hanging="360"/>
      </w:pPr>
    </w:lvl>
    <w:lvl w:ilvl="7" w:tplc="A6603EBE">
      <w:start w:val="1"/>
      <w:numFmt w:val="lowerLetter"/>
      <w:lvlText w:val="%8."/>
      <w:lvlJc w:val="left"/>
      <w:pPr>
        <w:ind w:left="6109" w:hanging="360"/>
      </w:pPr>
    </w:lvl>
    <w:lvl w:ilvl="8" w:tplc="68FAD40A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2B1141"/>
    <w:multiLevelType w:val="hybridMultilevel"/>
    <w:tmpl w:val="29D66B5E"/>
    <w:lvl w:ilvl="0" w:tplc="E7F0892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43385"/>
    <w:multiLevelType w:val="hybridMultilevel"/>
    <w:tmpl w:val="B896CD68"/>
    <w:lvl w:ilvl="0" w:tplc="F476D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7B317B"/>
    <w:multiLevelType w:val="hybridMultilevel"/>
    <w:tmpl w:val="7802597A"/>
    <w:lvl w:ilvl="0" w:tplc="B8D2FC3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73900796">
    <w:abstractNumId w:val="0"/>
  </w:num>
  <w:num w:numId="2" w16cid:durableId="500895097">
    <w:abstractNumId w:val="8"/>
  </w:num>
  <w:num w:numId="3" w16cid:durableId="589119762">
    <w:abstractNumId w:val="6"/>
  </w:num>
  <w:num w:numId="4" w16cid:durableId="1523276709">
    <w:abstractNumId w:val="5"/>
  </w:num>
  <w:num w:numId="5" w16cid:durableId="1527910375">
    <w:abstractNumId w:val="2"/>
  </w:num>
  <w:num w:numId="6" w16cid:durableId="887760821">
    <w:abstractNumId w:val="3"/>
  </w:num>
  <w:num w:numId="7" w16cid:durableId="1069500436">
    <w:abstractNumId w:val="1"/>
  </w:num>
  <w:num w:numId="8" w16cid:durableId="172038240">
    <w:abstractNumId w:val="4"/>
  </w:num>
  <w:num w:numId="9" w16cid:durableId="1652824751">
    <w:abstractNumId w:val="10"/>
  </w:num>
  <w:num w:numId="10" w16cid:durableId="587153459">
    <w:abstractNumId w:val="9"/>
  </w:num>
  <w:num w:numId="11" w16cid:durableId="2088262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D0"/>
    <w:rsid w:val="000650EB"/>
    <w:rsid w:val="00110819"/>
    <w:rsid w:val="00133537"/>
    <w:rsid w:val="001B3C9D"/>
    <w:rsid w:val="001C7725"/>
    <w:rsid w:val="00204458"/>
    <w:rsid w:val="00235326"/>
    <w:rsid w:val="003B0459"/>
    <w:rsid w:val="004A1893"/>
    <w:rsid w:val="004D102C"/>
    <w:rsid w:val="004E4C36"/>
    <w:rsid w:val="00593C58"/>
    <w:rsid w:val="00597B6D"/>
    <w:rsid w:val="005C629F"/>
    <w:rsid w:val="005E48EB"/>
    <w:rsid w:val="005F0A53"/>
    <w:rsid w:val="005F6A36"/>
    <w:rsid w:val="00603066"/>
    <w:rsid w:val="006847D0"/>
    <w:rsid w:val="006D0A4B"/>
    <w:rsid w:val="0083312F"/>
    <w:rsid w:val="00844DA7"/>
    <w:rsid w:val="008761FE"/>
    <w:rsid w:val="0087714E"/>
    <w:rsid w:val="008E4357"/>
    <w:rsid w:val="008F6513"/>
    <w:rsid w:val="00921F9B"/>
    <w:rsid w:val="00957FD9"/>
    <w:rsid w:val="00962848"/>
    <w:rsid w:val="009B5BCA"/>
    <w:rsid w:val="00A63715"/>
    <w:rsid w:val="00AC3CB1"/>
    <w:rsid w:val="00AF4808"/>
    <w:rsid w:val="00B36A0C"/>
    <w:rsid w:val="00BB138C"/>
    <w:rsid w:val="00BE0CC6"/>
    <w:rsid w:val="00CB17C5"/>
    <w:rsid w:val="00CC4165"/>
    <w:rsid w:val="00CD3671"/>
    <w:rsid w:val="00CE54C3"/>
    <w:rsid w:val="00D120D6"/>
    <w:rsid w:val="00D122B1"/>
    <w:rsid w:val="00DA059E"/>
    <w:rsid w:val="00DC04ED"/>
    <w:rsid w:val="00DC2BF6"/>
    <w:rsid w:val="00DD7B56"/>
    <w:rsid w:val="00DF1ACA"/>
    <w:rsid w:val="00E121C9"/>
    <w:rsid w:val="00E722E0"/>
    <w:rsid w:val="00EC29BC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8602"/>
  <w15:docId w15:val="{5D9E6BCB-55CC-4810-829D-F71EECB2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7D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znaimen">
    <w:name w:val="oz_naimen"/>
    <w:basedOn w:val="a0"/>
    <w:rsid w:val="004D102C"/>
  </w:style>
  <w:style w:type="character" w:customStyle="1" w:styleId="pt-a0-000008">
    <w:name w:val="pt-a0-000008"/>
    <w:basedOn w:val="a0"/>
    <w:rsid w:val="00AC3CB1"/>
  </w:style>
  <w:style w:type="character" w:customStyle="1" w:styleId="pt-a0">
    <w:name w:val="pt-a0"/>
    <w:basedOn w:val="a0"/>
    <w:rsid w:val="00AC3CB1"/>
  </w:style>
  <w:style w:type="paragraph" w:styleId="a3">
    <w:name w:val="Normal (Web)"/>
    <w:basedOn w:val="a"/>
    <w:uiPriority w:val="99"/>
    <w:semiHidden/>
    <w:unhideWhenUsed/>
    <w:rsid w:val="004A18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paragraph" w:styleId="a4">
    <w:name w:val="List Paragraph"/>
    <w:basedOn w:val="a"/>
    <w:uiPriority w:val="34"/>
    <w:qFormat/>
    <w:rsid w:val="00DA05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ConsPlusTitle">
    <w:name w:val="ConsPlusTitle"/>
    <w:rsid w:val="00D122B1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12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D122B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122B1"/>
    <w:rPr>
      <w:vertAlign w:val="superscript"/>
    </w:rPr>
  </w:style>
  <w:style w:type="table" w:styleId="a8">
    <w:name w:val="Table Grid"/>
    <w:basedOn w:val="a1"/>
    <w:uiPriority w:val="39"/>
    <w:rsid w:val="00D122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АБЛИЦА"/>
    <w:basedOn w:val="a"/>
    <w:link w:val="aa"/>
    <w:uiPriority w:val="99"/>
    <w:rsid w:val="00D122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1418" w:hanging="1418"/>
      <w:jc w:val="both"/>
    </w:pPr>
    <w:rPr>
      <w:rFonts w:eastAsia="Times New Roman" w:cs="Times New Roman"/>
      <w:b/>
      <w:bCs/>
      <w:color w:val="auto"/>
      <w:sz w:val="24"/>
      <w:szCs w:val="24"/>
      <w:bdr w:val="none" w:sz="0" w:space="0" w:color="auto"/>
      <w:lang w:eastAsia="en-US"/>
    </w:rPr>
  </w:style>
  <w:style w:type="character" w:customStyle="1" w:styleId="aa">
    <w:name w:val="ТАБЛИЦА Знак"/>
    <w:link w:val="a9"/>
    <w:uiPriority w:val="99"/>
    <w:locked/>
    <w:rsid w:val="00D122B1"/>
    <w:rPr>
      <w:rFonts w:ascii="Times New Roman" w:eastAsia="Times New Roman" w:hAnsi="Times New Roman" w:cs="Times New Roman"/>
      <w:b/>
      <w:bCs/>
    </w:rPr>
  </w:style>
  <w:style w:type="paragraph" w:styleId="ab">
    <w:name w:val="footer"/>
    <w:basedOn w:val="a"/>
    <w:link w:val="ac"/>
    <w:uiPriority w:val="99"/>
    <w:unhideWhenUsed/>
    <w:rsid w:val="00B36A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6A0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styleId="ad">
    <w:name w:val="page number"/>
    <w:basedOn w:val="a0"/>
    <w:uiPriority w:val="99"/>
    <w:semiHidden/>
    <w:unhideWhenUsed/>
    <w:rsid w:val="00B36A0C"/>
  </w:style>
  <w:style w:type="paragraph" w:styleId="ae">
    <w:name w:val="Balloon Text"/>
    <w:basedOn w:val="a"/>
    <w:link w:val="af"/>
    <w:uiPriority w:val="99"/>
    <w:semiHidden/>
    <w:unhideWhenUsed/>
    <w:rsid w:val="00BB13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138C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u</dc:creator>
  <cp:lastModifiedBy>Станислав Митюшин</cp:lastModifiedBy>
  <cp:revision>2</cp:revision>
  <dcterms:created xsi:type="dcterms:W3CDTF">2023-03-03T09:59:00Z</dcterms:created>
  <dcterms:modified xsi:type="dcterms:W3CDTF">2023-03-03T09:59:00Z</dcterms:modified>
</cp:coreProperties>
</file>